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StRGO (Bayern) — Teilnahme</w:t>
      </w:r>
    </w:p>
    <w:p>
      <w:r>
        <w:rPr>
          <w:color w:val="555555"/>
          <w:sz w:val="18"/>
        </w:rPr>
        <w:t xml:space="preserve">Geschäftsordnung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Alle Mitglieder der Staatsregierung sind zur Teilnahme an den Ministerratssitzungen verpflichtet. Ist ein Mitglied aus zwingenden Gründen verhindert, unterrichtet es den Ministerpräsidenten oder den Leiter der Staatskanzlei frühzeitig schriftlich.</w:t>
      </w:r>
    </w:p>
    <w:p>
      <w:r>
        <w:t xml:space="preserve">(2) An den Sitzungen des Ministerrats nehmen außerdem regelmäßig teil:</w:t>
      </w:r>
    </w:p>
    <w:p>
      <w:r>
        <w:t xml:space="preserve">1. der Amtschef der Staatskanzlei,</w:t>
      </w:r>
    </w:p>
    <w:p>
      <w:r>
        <w:t xml:space="preserve">2. der Leiter der Rechtsabteilung der Staatskanzlei,</w:t>
      </w:r>
    </w:p>
    <w:p>
      <w:r>
        <w:t xml:space="preserve">3. der Pressesprecher der Staatsregierung und</w:t>
      </w:r>
    </w:p>
    <w:p>
      <w:r>
        <w:t xml:space="preserve">4. der Ministerratsreferent der Staatskanzlei als Protokollführer</w:t>
      </w:r>
    </w:p>
    <w:p>
      <w:r>
        <w:t xml:space="preserve">oder ihre jeweiligen Stellvertreter. Beamte der Staatskanzlei können zeitweilig zugelassen werden, soweit sie den jeweils zur Beratung anstehenden Tagesordnungspunkt betreuen.</w:t>
      </w:r>
    </w:p>
    <w:p>
      <w:r>
        <w:t xml:space="preserve">(3) Der Ministerpräsident kann die Teilnahme anderer Personen anordnen oder zulassen, wenn dies der Beratung des Ministerrats dient.</w:t>
      </w:r>
    </w:p>
    <w:p>
      <w:r>
        <w:t xml:space="preserve">(4) Der Ministerpräsident kann die Teilnahme auf die Mitglieder der Staatsregierung beschränken. In diesem Fall führt der Leiter der Staatskanzlei das Protokoll.</w:t>
      </w:r>
    </w:p>
    <w:p>
      <w:r>
        <w:rPr>
          <w:color w:val="555555"/>
          <w:sz w:val="17"/>
        </w:rPr>
        <w:t xml:space="preserve">Zitiervorschlag: § 10 StRGO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