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StPrüfDVJu (Bayern)</w:t>
      </w:r>
    </w:p>
    <w:p>
      <w:r>
        <w:rPr>
          <w:color w:val="555555"/>
          <w:sz w:val="18"/>
        </w:rPr>
        <w:t xml:space="preserve">Staatsprüfungs-Durchführungsverordnung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77 Abs. 1 Satz 2 der Verfassung, § 113 Abs. 1 des Deutschen Richtergesetzes in der Fassung der Bekanntmachung vom 19. April 1972 (BGBl I S. 713), zuletzt geändert durch Gesetz vom 6. August 1998 (BGBl I S. 2026), und Art. 6 Abs. 2 des Gesetzes über die Regelungen im Sozialwesen vom 23. Juli 1994 (GVBl S. 600, BayRS 2170-7-A), geändert durch Art. 12 Abs. 1 des Gesetzes vom 9. August 1996 (GVBl S. 328), erläßt die Bayerische Staatsregierung folgende Verordnung:</w:t>
      </w:r>
    </w:p>
    <w:p>
      <w:r>
        <w:rPr>
          <w:color w:val="555555"/>
          <w:sz w:val="17"/>
        </w:rPr>
        <w:t xml:space="preserve">Zitiervorschlag: Eingangsformel StPrüfDVJu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https://recht.nulegal.eu/gesetze/StPr%C3%BCfDVJu/eingangsformel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