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StPOEG — Verhältnis zu landesgesetzlichen Vorschriften</w:t>
      </w:r>
    </w:p>
    <w:p>
      <w:r>
        <w:rPr>
          <w:color w:val="555555"/>
          <w:sz w:val="18"/>
        </w:rPr>
        <w:t xml:space="preserve">Einführungsgesetz zur Strafprozeßordnung</w:t>
      </w:r>
    </w:p>
    <w:p>
      <w:r>
        <w:rPr>
          <w:color w:val="555555"/>
          <w:sz w:val="18"/>
        </w:rPr>
        <w:t xml:space="preserve">Stand: 10.06.2019 (konsolidierte Textfassung, kein amtliches Inkrafttretensdatum)</w:t>
      </w:r>
    </w:p>
    <w:p>
      <w:r>
        <w:t xml:space="preserve">(1) Die prozeßrechtlichen Vorschriften der Landesgesetze treten für alle Strafsachen, über die gemäß § 3 nach den Vorschriften der Strafprozeßordnung zu entscheiden ist, außer Kraft, soweit nicht in der Strafprozeßordnung auf sie verwiesen ist. Außer Kraft treten insbesondere die Vorschriften über die Befugnis zum Erlaß polizeilicher Strafverfügungen.</w:t>
      </w:r>
    </w:p>
    <w:p>
      <w:r>
        <w:t xml:space="preserve">(2) Unberührt bleiben landesgesetzliche Vorschriften:</w:t>
      </w:r>
    </w:p>
    <w:p>
      <w:pPr>
        <w:ind w:left="420"/>
      </w:pPr>
      <w:r>
        <w:t xml:space="preserve">1. über die Voraussetzungen, unter denen gegen Mitglieder eines Organs der Gesetzgebung eine Strafverfolgung eingeleitet oder fortgesetzt werden kann;</w:t>
      </w:r>
    </w:p>
    <w:p>
      <w:pPr>
        <w:ind w:left="420"/>
      </w:pPr>
      <w:r>
        <w:t xml:space="preserve">2. über das Verfahren bei Zuwiderhandlungen gegen die Vorschriften über die Erhebung öffentlicher Abgaben und Gefälle, soweit sie auf die Abgabenordnung verweisen.</w:t>
      </w:r>
    </w:p>
    <w:p>
      <w:r>
        <w:rPr>
          <w:color w:val="555555"/>
          <w:sz w:val="17"/>
        </w:rPr>
        <w:t xml:space="preserve">Zitiervorschlag: § 6 StPOEG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https://recht.nulegal.eu/gesetze/StPOEG/6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