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StPOEG — Anwendungsbereich der Strafprozessordnung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Strafprozeßordnung findet auf alle Strafsachen Anwendung, welche vor die ordentlichen Gerichte gehören.</w:t>
      </w:r>
    </w:p>
    <w:p>
      <w:r>
        <w:t xml:space="preserve">(2) Insoweit die Gerichtsbarkeit in Strafsachen, für welche besondere Gerichte zugelassen sind, durch die Landesgesetzgebung den ordentlichen Gerichten übertragen wird, kann diese ein abweichendes Verfahren gestatten.</w:t>
      </w:r>
    </w:p>
    <w:p>
      <w:r>
        <w:t xml:space="preserve">(3) Die Landesgesetze können anordnen, daß Forst- und Feldrügesachen durch die Amtsgerichte in einem besonderen Verfahren, sowie ohne Zuziehung von Schöffen verhandelt und entschieden werden.</w:t>
      </w:r>
    </w:p>
    <w:p>
      <w:r>
        <w:rPr>
          <w:color w:val="555555"/>
          <w:sz w:val="17"/>
        </w:rPr>
        <w:t xml:space="preserve">Zitiervorschlag: § 3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