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StPOEG — Übergangsvorschrift zum Gesetz zur Änderung des Zuständigkeitsstreitwerts der Amtsgerichte, zum Ausbau der Spezialisierung der Justiz in Zivilsachen sowie zur Änderung weiterer prozessualer Regelungen</w:t>
      </w:r>
    </w:p>
    <w:p>
      <w:r>
        <w:rPr>
          <w:color w:val="555555"/>
          <w:sz w:val="18"/>
        </w:rPr>
        <w:t xml:space="preserve">Einführungsgesetz zur Strafprozeßordnung</w:t>
      </w:r>
    </w:p>
    <w:p>
      <w:r>
        <w:rPr>
          <w:color w:val="555555"/>
          <w:sz w:val="18"/>
        </w:rPr>
        <w:t xml:space="preserve">Stand: 01.01.2026 (konsolidierte Textfassung, kein amtliches Inkrafttretensdatum)</w:t>
      </w:r>
    </w:p>
    <w:p>
      <w:r>
        <w:t xml:space="preserve">§ 304 Absatz 3 der Strafprozessordnung ist in seiner bis einschließlich 31. Dezember 2025 geltenden Fassung weiter anzuwenden, wenn die anzufechtende Entscheidung bis einschließlich 31. Dezember 2025 bekannt gemacht (§ 35 der Strafprozessordnung) worden ist.</w:t>
      </w:r>
    </w:p>
    <w:p>
      <w:r>
        <w:rPr>
          <w:color w:val="555555"/>
          <w:sz w:val="17"/>
        </w:rPr>
        <w:t xml:space="preserve">Zitiervorschlag: § 19 StPOEG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https://recht.nulegal.eu/gesetze/StPOEG/19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