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98a StPO — Rasterfahndung</w:t>
      </w:r>
    </w:p>
    <w:p>
      <w:r>
        <w:rPr>
          <w:color w:val="555555"/>
          <w:sz w:val="18"/>
        </w:rPr>
        <w:t xml:space="preserve">Strafprozeßordnung</w:t>
      </w:r>
    </w:p>
    <w:p>
      <w:r>
        <w:rPr>
          <w:color w:val="555555"/>
          <w:sz w:val="18"/>
        </w:rPr>
        <w:t xml:space="preserve">Stand: 10.06.2019 (konsolidierte Textfassung, kein amtliches Inkrafttretensdatum)</w:t>
      </w:r>
    </w:p>
    <w:p>
      <w:r>
        <w:t xml:space="preserve">(1) Liegen zureichende tatsächliche Anhaltspunkte dafür vor, daß eine Straftat von erheblicher Bedeutung</w:t>
      </w:r>
    </w:p>
    <w:p>
      <w:pPr>
        <w:ind w:left="420"/>
      </w:pPr>
      <w:r>
        <w:t xml:space="preserve">1. auf dem Gebiet des unerlaubten Betäubungsmittel- oder Waffenverkehrs, der Geld- oder Wertzeichenfälschung,</w:t>
      </w:r>
    </w:p>
    <w:p>
      <w:pPr>
        <w:ind w:left="420"/>
      </w:pPr>
      <w:r>
        <w:t xml:space="preserve">2. auf dem Gebiet des Staatsschutzes (§§ 74a, 120 des Gerichtsverfassungsgesetzes),</w:t>
      </w:r>
    </w:p>
    <w:p>
      <w:pPr>
        <w:ind w:left="420"/>
      </w:pPr>
      <w:r>
        <w:t xml:space="preserve">3. auf dem Gebiet der gemeingefährlichen Straftaten,</w:t>
      </w:r>
    </w:p>
    <w:p>
      <w:pPr>
        <w:ind w:left="420"/>
      </w:pPr>
      <w:r>
        <w:t xml:space="preserve">4. gegen Leib oder Leben, die sexuelle Selbstbestimmung oder die persönliche Freiheit,</w:t>
      </w:r>
    </w:p>
    <w:p>
      <w:pPr>
        <w:ind w:left="420"/>
      </w:pPr>
      <w:r>
        <w:t xml:space="preserve">5. gewerbs- oder gewohnheitsmäßig oder</w:t>
      </w:r>
    </w:p>
    <w:p>
      <w:pPr>
        <w:ind w:left="420"/>
      </w:pPr>
      <w:r>
        <w:t xml:space="preserve">6. von einem Bandenmitglied oder in anderer Weise organisiert</w:t>
      </w:r>
    </w:p>
    <w:p>
      <w:r>
        <w:t xml:space="preserve">begangen worden ist, so dürfen, unbeschadet §§ 94, 110, 161, personenbezogene Daten von Personen, die bestimmte, auf den Täter vermutlich zutreffende Prüfungsmerkmale erfüllen, mit anderen Daten maschinell abgeglichen werden, um Nichtverdächtige auszuschließen oder Personen festzustellen, die weitere für die Ermittlungen bedeutsame Prüfungsmerkmale erfüllen. Die Maßnahme darf nur angeordnet werden, wenn die Erforschung des Sachverhalts oder die Ermittlung des Aufenthaltsortes des Täters auf andere Weise erheblich weniger erfolgversprechend oder wesentlich erschwert wäre.</w:t>
      </w:r>
    </w:p>
    <w:p>
      <w:r>
        <w:t xml:space="preserve">(2) Zu dem in Absatz 1 bezeichneten Zweck hat die speichernde Stelle die für den Abgleich erforderlichen Daten aus den Datenbeständen auszusondern und den Strafverfolgungsbehörden zu übermitteln.</w:t>
      </w:r>
    </w:p>
    <w:p>
      <w:r>
        <w:t xml:space="preserve">(3) Soweit die zu übermittelnden Daten von anderen Daten nur mit unverhältnismäßigem Aufwand getrennt werden können, sind auf Anordnung auch die anderen Daten zu übermitteln. Ihre Nutzung ist nicht zulässig.</w:t>
      </w:r>
    </w:p>
    <w:p>
      <w:r>
        <w:t xml:space="preserve">(4) Auf Anforderung der Staatsanwaltschaft hat die speichernde Stelle die Stelle, die den Abgleich durchführt, zu unterstützen.</w:t>
      </w:r>
    </w:p>
    <w:p>
      <w:r>
        <w:t xml:space="preserve">(5) § 95 Abs. 2 gilt entsprechend.</w:t>
      </w:r>
    </w:p>
    <w:p>
      <w:r>
        <w:rPr>
          <w:color w:val="555555"/>
          <w:sz w:val="17"/>
        </w:rPr>
        <w:t xml:space="preserve">Zitiervorschlag: § 98a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https://recht.nulegal.eu/gesetze/StPO/98a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