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StPO — Sicherstellung und Beschlagnahme von Gegenständen zu Beweiszwecken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Gegenstände, die als Beweismittel für die Untersuchung von Bedeutung sein können, sind in Verwahrung zu nehmen oder in anderer Weise sicherzustellen.</w:t>
      </w:r>
    </w:p>
    <w:p>
      <w:r>
        <w:t xml:space="preserve">(2) Befinden sich die Gegenstände in dem Gewahrsam einer Person und werden sie nicht freiwillig herausgegeben, so bedarf es der Beschlagnahme.</w:t>
      </w:r>
    </w:p>
    <w:p>
      <w:r>
        <w:t xml:space="preserve">(3) Die Absätze 1 und 2 gelten auch für Führerscheine, die der Einziehung unterliegen.</w:t>
      </w:r>
    </w:p>
    <w:p>
      <w:r>
        <w:t xml:space="preserve">(4) Die Herausgabe beweglicher Sachen richtet sich nach den §§ 111n und 111o.</w:t>
      </w:r>
    </w:p>
    <w:p>
      <w:r>
        <w:rPr>
          <w:color w:val="555555"/>
          <w:sz w:val="17"/>
        </w:rPr>
        <w:t xml:space="preserve">Zitiervorschlag: § 94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