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StPO — Anordnung einer neuen Begutachtung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Richter kann eine neue Begutachtung durch dieselben oder durch andere Sachverständige anordnen, wenn er das Gutachten für ungenügend erachtet.</w:t>
      </w:r>
    </w:p>
    <w:p>
      <w:r>
        <w:t xml:space="preserve">(2) Der Richter kann die Begutachtung durch einen anderen Sachverständigen anordnen, wenn ein Sachverständiger nach Erstattung des Gutachtens mit Erfolg abgelehnt ist.</w:t>
      </w:r>
    </w:p>
    <w:p>
      <w:r>
        <w:t xml:space="preserve">(3) In wichtigeren Fällen kann das Gutachten einer Fachbehörde eingeholt werden.</w:t>
      </w:r>
    </w:p>
    <w:p>
      <w:r>
        <w:rPr>
          <w:color w:val="555555"/>
          <w:sz w:val="17"/>
        </w:rPr>
        <w:t xml:space="preserve">Zitiervorschlag: § 83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