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81h StPO — DNA-Reihenuntersuchung</w:t>
      </w:r>
    </w:p>
    <w:p>
      <w:r>
        <w:rPr>
          <w:color w:val="555555"/>
          <w:sz w:val="18"/>
        </w:rPr>
        <w:t xml:space="preserve">Strafprozeßordnung</w:t>
      </w:r>
    </w:p>
    <w:p>
      <w:r>
        <w:rPr>
          <w:color w:val="555555"/>
          <w:sz w:val="18"/>
        </w:rPr>
        <w:t xml:space="preserve">Stand: 17.07.2024 (konsolidierte Textfassung, kein amtliches Inkrafttretensdatum)</w:t>
      </w:r>
    </w:p>
    <w:p>
      <w:r>
        <w:t xml:space="preserve">(1) Begründen bestimmte Tatsachen den Verdacht, dass ein Verbrechen gegen das Leben, die körperliche Unversehrtheit, die persönliche Freiheit oder die sexuelle Selbstbestimmung begangen worden ist, dürfen Personen, die bestimmte, auf den Täter vermutlich zutreffende Prüfungsmerkmale erfüllen, mit ihrer Einwilligung</w:t>
      </w:r>
    </w:p>
    <w:p>
      <w:pPr>
        <w:ind w:left="420"/>
      </w:pPr>
      <w:r>
        <w:t xml:space="preserve">1. Körperzellen entnommen,</w:t>
      </w:r>
    </w:p>
    <w:p>
      <w:pPr>
        <w:ind w:left="420"/>
      </w:pPr>
      <w:r>
        <w:t xml:space="preserve">2. diese zur Feststellung des DNA-Identifizierungsmusters und des Geschlechts molekulargenetisch untersucht und</w:t>
      </w:r>
    </w:p>
    <w:p>
      <w:pPr>
        <w:ind w:left="420"/>
      </w:pPr>
      <w:r>
        <w:t xml:space="preserve">3. die festgestellten DNA-Identifizierungsmuster mit den DNA-Identifizierungsmustern von Spurenmaterial automatisiert abgeglichen werden,</w:t>
      </w:r>
    </w:p>
    <w:p>
      <w:r>
        <w:t xml:space="preserve">soweit dies zur Feststellung erforderlich ist, ob das Spurenmaterial von diesen Personen oder von ihren Verwandten in gerader Linie oder in der Seitenlinie bis zum dritten Grad stammt, und die Maßnahme insbesondere im Hinblick auf die Anzahl der von ihr betroffenen Personen nicht außer Verhältnis zur Schwere der Tat steht. Die Einwilligung ist schriftlich zu erklären oder von der Staatsanwaltschaft oder ihren Ermittlungspersonen in Gegenwart der einwilligenden Person zu protokollieren oder auf sonstige Weise zu dokumentieren.</w:t>
      </w:r>
    </w:p>
    <w:p>
      <w:r>
        <w:t xml:space="preserve">(2) Eine Maßnahme nach Absatz 1 bedarf der gerichtlichen Anordnung. Diese ergeht schriftlich. Sie muss die betroffenen Personen anhand bestimmter Prüfungsmerkmale bezeichnen und ist zu begründen. Einer vorherigen Anhörung der betroffenen Personen bedarf es nicht. Die Entscheidung, mit der die Maßnahme angeordnet wird, ist nicht anfechtbar.</w:t>
      </w:r>
    </w:p>
    <w:p>
      <w:r>
        <w:t xml:space="preserve">(3) Für die Durchführung der Maßnahme gilt § 81f Absatz 2 entsprechend. Die entnommenen Körperzellen sind unverzüglich zu vernichten, sobald sie für die Untersuchung nach Absatz 1 nicht mehr benötigt werden. Soweit die Aufzeichnungen über die durch die Maßnahme festgestellten DNA-Identifizierungsmuster zur Erforschung des Sachverhalts nicht mehr erforderlich sind, sind sie unverzüglich zu löschen. Die Vernichtung und die Löschung sind zu dokumentieren.</w:t>
      </w:r>
    </w:p>
    <w:p>
      <w:r>
        <w:t xml:space="preserve">(4) Die betroffenen Personen sind schriftlich darüber zu belehren, dass die Maßnahme nur mit ihrer Einwilligung durchgeführt werden darf. Vor Erteilung der Einwilligung sind sie schriftlich auch darauf hinzuweisen, dass</w:t>
      </w:r>
    </w:p>
    <w:p>
      <w:pPr>
        <w:ind w:left="420"/>
      </w:pPr>
      <w:r>
        <w:t xml:space="preserve">1. die entnommenen Körperzellen ausschließlich zur Feststellung des DNA-Identifizierungsmusters, der Abstammung und des Geschlechts untersucht werden und dass sie unverzüglich vernichtet werden, sobald sie hierfür nicht mehr erforderlich sind,</w:t>
      </w:r>
    </w:p>
    <w:p>
      <w:pPr>
        <w:ind w:left="420"/>
      </w:pPr>
      <w:r>
        <w:t xml:space="preserve">2. das Untersuchungsergebnis mit den DNA-Identifizierungsmustern von Spurenmaterial automatisiert daraufhin abgeglichen wird, ob das Spurenmaterial von ihnen oder von ihren Verwandten in gerader Linie oder in der Seitenlinie bis zum dritten Grad stammt,</w:t>
      </w:r>
    </w:p>
    <w:p>
      <w:pPr>
        <w:ind w:left="420"/>
      </w:pPr>
      <w:r>
        <w:t xml:space="preserve">3. das Ergebnis des Abgleichs zu Lasten der betroffenen Person oder mit ihr in gerader Linie oder in der Seitenlinie bis zum dritten Grad verwandter Personen verwertet werden darf und</w:t>
      </w:r>
    </w:p>
    <w:p>
      <w:pPr>
        <w:ind w:left="420"/>
      </w:pPr>
      <w:r>
        <w:t xml:space="preserve">4. die festgestellten DNA-Identifizierungsmuster nicht zur Identitätsfeststellung in künftigen Strafverfahren beim Bundeskriminalamt gespeichert werden.</w:t>
      </w:r>
    </w:p>
    <w:p>
      <w:r>
        <w:rPr>
          <w:color w:val="555555"/>
          <w:sz w:val="17"/>
        </w:rPr>
        <w:t xml:space="preserve">Zitiervorschlag: § 81h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https://recht.nulegal.eu/gesetze/StPO/81h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