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StPO — Gerichtsstand des Wohnsitzes oder Aufenthaltsortes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Gerichtsstand ist auch bei dem Gericht begründet, in dessen Bezirk der Angeschuldigte zur Zeit der Erhebung der Klage seinen Wohnsitz hat.</w:t>
      </w:r>
    </w:p>
    <w:p>
      <w:r>
        <w:t xml:space="preserve">(2) Hat der Angeschuldigte keinen Wohnsitz im Geltungsbereich dieses Bundesgesetzes, so wird der Gerichtsstand auch durch den gewöhnlichen Aufenthaltsort und, wenn ein solcher nicht bekannt ist, durch den letzten Wohnsitz bestimmt.</w:t>
      </w:r>
    </w:p>
    <w:p>
      <w:r>
        <w:rPr>
          <w:color w:val="555555"/>
          <w:sz w:val="17"/>
        </w:rPr>
        <w:t xml:space="preserve">Zitiervorschlag: § 8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