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StPO — Ausbleiben oder unberechtigte Gutachtenverweigerung des Sachverständigen</w:t>
      </w:r>
    </w:p>
    <w:p>
      <w:r>
        <w:rPr>
          <w:color w:val="555555"/>
          <w:sz w:val="18"/>
        </w:rPr>
        <w:t xml:space="preserve">Strafprozeßordnung</w:t>
      </w:r>
    </w:p>
    <w:p>
      <w:r>
        <w:rPr>
          <w:color w:val="555555"/>
          <w:sz w:val="18"/>
        </w:rPr>
        <w:t xml:space="preserve">Stand: 10.06.2019 (konsolidierte Textfassung, kein amtliches Inkrafttretensdatum)</w:t>
      </w:r>
    </w:p>
    <w:p>
      <w:r>
        <w:t xml:space="preserve">(1) Im Falle des Nichterscheinens oder der Weigerung eines zur Erstattung des Gutachtens verpflichteten Sachverständigen wird diesem auferlegt, die dadurch verursachten Kosten zu ersetzen. Zugleich wird gegen ihn ein Ordnungsgeld festgesetzt. Im Falle wiederholten Ungehorsams kann neben der Auferlegung der Kosten das Ordnungsgeld noch einmal festgesetzt werden.</w:t>
      </w:r>
    </w:p>
    <w:p>
      <w:r>
        <w:t xml:space="preserve">(2) Weigert sich ein zur Erstattung des Gutachtens verpflichteter Sachverständiger, nach § 73 Abs. 1 Satz 2 eine angemessene Frist abzusprechen, oder versäumt er die abgesprochene Frist, so kann gegen ihn ein Ordnungsgeld festgesetzt werden. Der Festsetzung des Ordnungsgeldes muß eine Androhung unter Setzung einer Nachfrist vorausgehen. Im Falle wiederholter Fristversäumnis kann das Ordnungsgeld noch einmal festgesetzt werden.</w:t>
      </w:r>
    </w:p>
    <w:p>
      <w:r>
        <w:rPr>
          <w:color w:val="555555"/>
          <w:sz w:val="17"/>
        </w:rPr>
        <w:t xml:space="preserve">Zitiervorschlag: § 77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