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74 StPO — Ablehnung des Sachverständigen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Sachverständiger kann aus denselben Gründen, die zur Ablehnung eines Richters berechtigen, abgelehnt werden. Ein Ablehnungsgrund kann jedoch nicht daraus entnommen werden, daß der Sachverständige als Zeuge vernommen worden ist.</w:t>
      </w:r>
    </w:p>
    <w:p>
      <w:r>
        <w:t xml:space="preserve">(2) Das Ablehnungsrecht steht der Staatsanwaltschaft, dem Privatkläger und dem Beschuldigten zu. Die ernannten Sachverständigen sind den zur Ablehnung Berechtigten namhaft zu machen, wenn nicht besondere Umstände entgegenstehen.</w:t>
      </w:r>
    </w:p>
    <w:p>
      <w:r>
        <w:t xml:space="preserve">(3) Der Ablehnungsgrund ist glaubhaft zu machen; der Eid ist als Mittel der Glaubhaftmachung ausgeschlossen.</w:t>
      </w:r>
    </w:p>
    <w:p>
      <w:r>
        <w:rPr>
          <w:color w:val="555555"/>
          <w:sz w:val="17"/>
        </w:rPr>
        <w:t xml:space="preserve">Zitiervorschlag: § 74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https://recht.nulegal.eu/gesetze/StPO/74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