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StPO — Gerichtsstand des Tatortes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Gerichtsstand ist bei dem Gericht begründet, in dessen Bezirk die Straftat begangen ist.</w:t>
      </w:r>
    </w:p>
    <w:p>
      <w:r>
        <w:t xml:space="preserve">(2) Wird die Straftat durch den Inhalt einer im Geltungsbereich dieses Bundesgesetzes erschienenen Druckschrift verwirklicht, so ist als das nach Absatz 1 zuständige Gericht nur das Gericht anzusehen, in dessen Bezirk die Druckschrift erschienen ist. Jedoch ist in den Fällen der Beleidigung, sofern die Verfolgung im Wege der Privatklage stattfindet, auch das Gericht, in dessen Bezirk die Druckschrift verbreitet worden ist, zuständig, wenn in diesem Bezirk die beleidigte Person ihren Wohnsitz oder gewöhnlichen Aufenthalt hat.</w:t>
      </w:r>
    </w:p>
    <w:p>
      <w:r>
        <w:rPr>
          <w:color w:val="555555"/>
          <w:sz w:val="17"/>
        </w:rPr>
        <w:t xml:space="preserve">Zitiervorschlag: § 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