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StPO — Vernehmung zur Sache</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Zeuge ist zu veranlassen, das, was ihm von dem Gegenstand seiner Vernehmung bekannt ist, im Zusammenhang anzugeben. Vor seiner Vernehmung ist dem Zeugen der Gegenstand der Untersuchung und die Person des Beschuldigten, sofern ein solcher vorhanden ist, zu bezeichnen.</w:t>
      </w:r>
    </w:p>
    <w:p>
      <w:r>
        <w:t xml:space="preserve">(2) Zur Aufklärung und zur Vervollständigung der Aussage sowie zur Erforschung des Grundes, auf dem das Wissen des Zeugen beruht, sind nötigenfalls weitere Fragen zu stellen. Zeugen, die durch die Straftat verletzt sind, ist insbesondere Gelegenheit zu geben, sich zu den Auswirkungen, die die Tat auf sie hatte, zu äußern.</w:t>
      </w:r>
    </w:p>
    <w:p>
      <w:r>
        <w:t xml:space="preserve">(3) Die Vorschrift des § 136a gilt für die Vernehmung des Zeugen entsprechend.</w:t>
      </w:r>
    </w:p>
    <w:p>
      <w:r>
        <w:rPr>
          <w:color w:val="555555"/>
          <w:sz w:val="17"/>
        </w:rPr>
        <w:t xml:space="preserve">Zitiervorschlag: § 69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