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490 StPO — Errichtungsanordnung für automatisierte Dateisysteme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Der Verantwortliche legt für jedes automatisierte Dateisystem in einer Errichtungsanordnung mindestens fest:</w:t>
      </w:r>
    </w:p>
    <w:p>
      <w:pPr>
        <w:ind w:left="420"/>
      </w:pPr>
      <w:r>
        <w:t xml:space="preserve">1. die Bezeichnung des Dateisystems,</w:t>
      </w:r>
    </w:p>
    <w:p>
      <w:pPr>
        <w:ind w:left="420"/>
      </w:pPr>
      <w:r>
        <w:t xml:space="preserve">2. die Rechtsgrundlage und den Zweck des Dateisystems,</w:t>
      </w:r>
    </w:p>
    <w:p>
      <w:pPr>
        <w:ind w:left="420"/>
      </w:pPr>
      <w:r>
        <w:t xml:space="preserve">3. den Personenkreis, über den Daten in dem Dateisystem verarbeitet werden,</w:t>
      </w:r>
    </w:p>
    <w:p>
      <w:pPr>
        <w:ind w:left="420"/>
      </w:pPr>
      <w:r>
        <w:t xml:space="preserve">4. die Art der zu verarbeitenden Daten,</w:t>
      </w:r>
    </w:p>
    <w:p>
      <w:pPr>
        <w:ind w:left="420"/>
      </w:pPr>
      <w:r>
        <w:t xml:space="preserve">5. die Anlieferung oder Eingabe der zu verarbeitenden Daten,</w:t>
      </w:r>
    </w:p>
    <w:p>
      <w:pPr>
        <w:ind w:left="420"/>
      </w:pPr>
      <w:r>
        <w:t xml:space="preserve">6. die Voraussetzungen, unter denen in dem Dateisystem verarbeitete Daten an welche Empfänger und in welchem Verfahren übermittelt werden,</w:t>
      </w:r>
    </w:p>
    <w:p>
      <w:pPr>
        <w:ind w:left="420"/>
      </w:pPr>
      <w:r>
        <w:t xml:space="preserve">7. Prüffristen und Speicherungsdauer.</w:t>
      </w:r>
    </w:p>
    <w:p>
      <w:r>
        <w:t xml:space="preserve">Dies gilt nicht für Dateisysteme, die nur vorübergehend vorgehalten und innerhalb von drei Monaten nach ihrer Erstellung gelöscht werden, und Informationssysteme gemäß § 483 Absatz 1 Satz 2.</w:t>
      </w:r>
    </w:p>
    <w:p>
      <w:r>
        <w:rPr>
          <w:color w:val="555555"/>
          <w:sz w:val="17"/>
        </w:rPr>
        <w:t xml:space="preserve">Zitiervorschlag: § 490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