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477 StPO — Datenübermittlung von Amts wegen</w:t>
      </w:r>
    </w:p>
    <w:p>
      <w:r>
        <w:rPr>
          <w:color w:val="555555"/>
          <w:sz w:val="18"/>
        </w:rPr>
        <w:t xml:space="preserve">Strafprozeßordnung</w:t>
      </w:r>
    </w:p>
    <w:p>
      <w:r>
        <w:rPr>
          <w:color w:val="555555"/>
          <w:sz w:val="18"/>
        </w:rPr>
        <w:t xml:space="preserve">Stand: 10.12.2019 (konsolidierte Textfassung, kein amtliches Inkrafttretensdatum)</w:t>
      </w:r>
    </w:p>
    <w:p>
      <w:r>
        <w:t xml:space="preserve">(1) Von Amts wegen dürfen personenbezogene Daten aus Strafverfahren Strafverfolgungsbehörden und Strafgerichten für Zwecke der Strafverfolgung sowie den zuständigen Behörden und Gerichten für Zwecke der Verfolgung von Ordnungswidrigkeiten übermittelt werden, soweit diese Daten aus der Sicht der übermittelnden Stelle hierfür erforderlich sind.</w:t>
      </w:r>
    </w:p>
    <w:p>
      <w:r>
        <w:t xml:space="preserve">(2) Eine von Amts wegen erfolgende Übermittlung personenbezogener Daten aus Strafverfahren ist auch zulässig, wenn die Kenntnis der Daten aus der Sicht der übermittelnden Stelle erforderlich ist für</w:t>
      </w:r>
    </w:p>
    <w:p>
      <w:pPr>
        <w:ind w:left="420"/>
      </w:pPr>
      <w:r>
        <w:t xml:space="preserve">1. die Vollstreckung von Strafen oder von Maßnahmen im Sinne des § 11 Absatz 1 Nummer 8 des Strafgesetzbuches oder für die Vollstreckung oder Durchführung von Erziehungsmaßregeln oder von Zuchtmitteln im Sinne des Jugendgerichtsgesetzes,</w:t>
      </w:r>
    </w:p>
    <w:p>
      <w:pPr>
        <w:ind w:left="420"/>
      </w:pPr>
      <w:r>
        <w:t xml:space="preserve">2. den Vollzug von freiheitsentziehenden Maßnahmen oder</w:t>
      </w:r>
    </w:p>
    <w:p>
      <w:pPr>
        <w:ind w:left="420"/>
      </w:pPr>
      <w:r>
        <w:t xml:space="preserve">3. Entscheidungen in Strafsachen, insbesondere über die Strafaussetzung zur Bewährung oder deren Widerruf, oder in Bußgeld- oder Gnadensachen.</w:t>
      </w:r>
    </w:p>
    <w:p>
      <w:r>
        <w:rPr>
          <w:color w:val="555555"/>
          <w:sz w:val="17"/>
        </w:rPr>
        <w:t xml:space="preserve">Zitiervorschlag: § 477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