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471 StPO — Kosten bei Privatklage</w:t>
      </w:r>
    </w:p>
    <w:p>
      <w:r>
        <w:rPr>
          <w:color w:val="555555"/>
          <w:sz w:val="18"/>
        </w:rPr>
        <w:t xml:space="preserve">Strafprozeßordnung</w:t>
      </w:r>
    </w:p>
    <w:p>
      <w:r>
        <w:rPr>
          <w:color w:val="555555"/>
          <w:sz w:val="18"/>
        </w:rPr>
        <w:t xml:space="preserve">Stand: 10.06.2019 (konsolidierte Textfassung, kein amtliches Inkrafttretensdatum)</w:t>
      </w:r>
    </w:p>
    <w:p>
      <w:r>
        <w:t xml:space="preserve">(1) In einem Verfahren auf erhobene Privatklage hat der Verurteilte auch die dem Privatkläger erwachsenen notwendigen Auslagen zu erstatten.</w:t>
      </w:r>
    </w:p>
    <w:p>
      <w:r>
        <w:t xml:space="preserve">(2) Wird die Klage gegen den Beschuldigten zurückgewiesen oder wird dieser freigesprochen oder wird das Verfahren eingestellt, so fallen dem Privatkläger die Kosten des Verfahrens sowie die dem Beschuldigten erwachsenen notwendigen Auslagen zur Last.</w:t>
      </w:r>
    </w:p>
    <w:p>
      <w:r>
        <w:t xml:space="preserve">(3) Das Gericht kann die Kosten des Verfahrens und die notwendigen Auslagen der Beteiligten angemessen verteilen oder nach pflichtgemäßem Ermessen einem der Beteiligten auferlegen, wenn</w:t>
      </w:r>
    </w:p>
    <w:p>
      <w:pPr>
        <w:ind w:left="420"/>
      </w:pPr>
      <w:r>
        <w:t xml:space="preserve">1. es den Anträgen des Privatklägers nur zum Teil entsprochen hat;</w:t>
      </w:r>
    </w:p>
    <w:p>
      <w:pPr>
        <w:ind w:left="420"/>
      </w:pPr>
      <w:r>
        <w:t xml:space="preserve">2. es das Verfahren nach § 383 Abs. 2 (§ 390 Abs. 5) wegen Geringfügigkeit eingestellt hat;</w:t>
      </w:r>
    </w:p>
    <w:p>
      <w:pPr>
        <w:ind w:left="420"/>
      </w:pPr>
      <w:r>
        <w:t xml:space="preserve">3. Widerklage erhoben worden ist.</w:t>
      </w:r>
    </w:p>
    <w:p>
      <w:r>
        <w:t xml:space="preserve">(4) Mehrere Privatkläger haften als Gesamtschuldner. Das gleiche gilt hinsichtlich der Haftung mehrerer Beschuldigter für die dem Privatkläger erwachsenen notwendigen Auslagen.</w:t>
      </w:r>
    </w:p>
    <w:p>
      <w:r>
        <w:rPr>
          <w:color w:val="555555"/>
          <w:sz w:val="17"/>
        </w:rPr>
        <w:t xml:space="preserve">Zitiervorschlag: § 471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