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StPO — Keine Vollstreckungshemmung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den Antrag auf Wiedereinsetzung in den vorigen Stand wird die Vollstreckung einer gerichtlichen Entscheidung nicht gehemmt.</w:t>
      </w:r>
    </w:p>
    <w:p>
      <w:r>
        <w:t xml:space="preserve">(2) Das Gericht kann jedoch einen Aufschub der Vollstreckung anordnen.</w:t>
      </w:r>
    </w:p>
    <w:p>
      <w:r>
        <w:t xml:space="preserve">(3) Durchbricht die Wiedereinsetzung die Rechtskraft einer gerichtlichen Entscheidung, werden Haft- und Unterbringungsbefehle sowie sonstige Anordnungen, die zum Zeitpunkt des Eintritts der Rechtskraft bestanden haben, wieder wirksam. Bei einem Haft- oder Unterbringungsbefehl ordnet das die Wiedereinsetzung gewährende Gericht dessen Aufhebung an, wenn sich ohne weiteres ergibt, dass dessen Voraussetzungen nicht mehr vorliegen. Anderenfalls hat das nach § 126 Abs. 2 zuständige Gericht unverzüglich eine Haftprüfung durchzuführen.</w:t>
      </w:r>
    </w:p>
    <w:p>
      <w:r>
        <w:rPr>
          <w:color w:val="555555"/>
          <w:sz w:val="17"/>
        </w:rPr>
        <w:t xml:space="preserve">Zitiervorschlag: § 47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