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464d StPO — Verteilung der Auslagen nach Bruchteilen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Auslagen der Staatskasse und die notwendigen Auslagen der Beteiligten können nach Bruchteilen verteilt werden.</w:t>
      </w:r>
    </w:p>
    <w:p>
      <w:r>
        <w:rPr>
          <w:color w:val="555555"/>
          <w:sz w:val="17"/>
        </w:rPr>
        <w:t xml:space="preserve">Zitiervorschlag: § 464d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https://recht.nulegal.eu/gesetze/StPO/464d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