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463b StPO — Beschlagnahme von Führerscheinen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01.06.2026 (konsolidierte Textfassung, kein amtliches Inkrafttretensdatum)</w:t>
      </w:r>
    </w:p>
    <w:p>
      <w:r>
        <w:t xml:space="preserve">(1) Ist ein Führerschein nach § 44 Abs. 2 Satz 2 und 3 des Strafgesetzbuches amtlich zu verwahren und wird er nicht freiwillig herausgegeben, so ist er zu beschlagnahmen.</w:t>
      </w:r>
    </w:p>
    <w:p>
      <w:r>
        <w:t xml:space="preserve">(2) Ausländische Führerscheine können zur Eintragung eines Vermerks über das Fahrverbot oder über die Entziehung der Fahrerlaubnis und die Sperre (§ 44 Abs. 2 Satz 4, § 69b Absatz 2 Satz 2 des Strafgesetzbuches) beschlagnahmt werden.</w:t>
      </w:r>
    </w:p>
    <w:p>
      <w:r>
        <w:t xml:space="preserve">(3) Der Verurteilte hat, wenn der Führerschein bei ihm nicht vorgefunden wird, auf Antrag der Vollstreckungsbehörde bei dem Amtsgericht eine eidesstattliche Versicherung über den Verbleib abzugeben. § 883 Abs. 2 und 3 der Zivilprozeßordnung gilt entsprechend.</w:t>
      </w:r>
    </w:p>
    <w:p>
      <w:r>
        <w:rPr>
          <w:color w:val="555555"/>
          <w:sz w:val="17"/>
        </w:rPr>
        <w:t xml:space="preserve">Zitiervorschlag: § 463b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https://recht.nulegal.eu/gesetze/StPO/463b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