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459m StPO — Entschädigung in sonstigen Fällen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In den Fällen des § 111i Absatz 3 wird der Überschuss an den Anspruchsinhaber ausgekehrt, der ein vollstreckbares Endurteil im Sinne des § 704 der Zivilprozessordnung oder einen anderen Vollstreckungstitel im Sinne des § 794 der Zivilprozessordnung vorlegt, aus dem sich der geltend gemachte Anspruch ergibt. § 459k Absatz 2 und 5 Satz 2 gilt entsprechend. Die Auskehrung ist ausgeschlossen, wenn zwei Jahre seit der Aufhebung des Insolvenzverfahrens verstrichen sind. In den Fällen des § 111i Absatz 2 gelten die Sätze 1 bis 3 entsprechend, wenn ein Insolvenzverfahren nicht durchgeführt wird.</w:t>
      </w:r>
    </w:p>
    <w:p>
      <w:r>
        <w:t xml:space="preserve">(2) Absatz 1 Satz 1 und 2 gilt entsprechend, wenn nach Aufhebung des Insolvenzverfahrens oder nach Abschluss der Auskehrung des Verwertungserlöses bei der Vollstreckung der Wertersatzeinziehung nach den §§ 73c und 76a Absatz 1 Satz 1 des Strafgesetzbuches, auch in Verbindung mit § 76a Absatz 3 des Strafgesetzbuches, ein Gegenstand gepfändet wird.</w:t>
      </w:r>
    </w:p>
    <w:p>
      <w:r>
        <w:rPr>
          <w:color w:val="555555"/>
          <w:sz w:val="17"/>
        </w:rPr>
        <w:t xml:space="preserve">Zitiervorschlag: § 459m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https://recht.nulegal.eu/gesetze/StPO/459m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