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459i StPO — Mitteilungen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Eintritt der Rechtskraft der Einziehungsanordnung nach den §§ 73 bis 73c und 76a Absatz 1 Satz 1 des Strafgesetzbuches, auch in Verbindung mit § 76a Absatz 3 des Strafgesetzbuches, wird demjenigen, dem ein Anspruch auf Rückgewähr des Erlangten oder auf Ersatz des Wertes des Erlangten aus der Tat erwachsen ist, unverzüglich mitgeteilt. Die Mitteilung ist zuzustellen; § 111l Absatz 4 gilt entsprechend.</w:t>
      </w:r>
    </w:p>
    <w:p>
      <w:r>
        <w:t xml:space="preserve">(2) Die Mitteilung ist im Fall der Einziehung des Gegenstandes mit dem Hinweis auf den Anspruch nach § 459h Absatz 1 und auf das Verfahren nach § 459j zu verbinden. Im Fall der Einziehung des Wertersatzes ist sie mit dem Hinweis auf den Anspruch nach § 459h Absatz 2 und das Verfahren nach den §§ 459k bis 459m zu verbinden.</w:t>
      </w:r>
    </w:p>
    <w:p>
      <w:r>
        <w:rPr>
          <w:color w:val="555555"/>
          <w:sz w:val="17"/>
        </w:rPr>
        <w:t xml:space="preserve">Zitiervorschlag: § 459i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