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459b StPO — Anrechnung von Teilbeträgen</w:t>
      </w:r>
    </w:p>
    <w:p>
      <w:r>
        <w:rPr>
          <w:color w:val="555555"/>
          <w:sz w:val="18"/>
        </w:rPr>
        <w:t xml:space="preserve">Strafprozeßordnung</w:t>
      </w:r>
    </w:p>
    <w:p>
      <w:r>
        <w:rPr>
          <w:color w:val="555555"/>
          <w:sz w:val="18"/>
        </w:rPr>
        <w:t xml:space="preserve">Stand: 10.06.2019 (konsolidierte Textfassung, kein amtliches Inkrafttretensdatum)</w:t>
      </w:r>
    </w:p>
    <w:p>
      <w:r>
        <w:t xml:space="preserve">Teilbeträge werden, wenn der Verurteilte bei der Zahlung keine Bestimmung trifft, zunächst auf die Geldstrafe, dann auf die etwa angeordneten Nebenfolgen, die zu einer Geldzahlung verpflichten, und zuletzt auf die Kosten des Verfahrens angerechnet.</w:t>
      </w:r>
    </w:p>
    <w:p>
      <w:r>
        <w:rPr>
          <w:color w:val="555555"/>
          <w:sz w:val="17"/>
        </w:rPr>
        <w:t xml:space="preserve">Zitiervorschlag: § 459b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