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458 StPO — Gerichtliche Entscheidungen bei Strafvollstreckung</w:t>
      </w:r>
    </w:p>
    <w:p>
      <w:r>
        <w:rPr>
          <w:color w:val="555555"/>
          <w:sz w:val="18"/>
        </w:rPr>
        <w:t xml:space="preserve">Strafprozeßordnung</w:t>
      </w:r>
    </w:p>
    <w:p>
      <w:r>
        <w:rPr>
          <w:color w:val="555555"/>
          <w:sz w:val="18"/>
        </w:rPr>
        <w:t xml:space="preserve">Stand: 10.06.2019 (konsolidierte Textfassung, kein amtliches Inkrafttretensdatum)</w:t>
      </w:r>
    </w:p>
    <w:p>
      <w:r>
        <w:t xml:space="preserve">(1) Wenn über die Auslegung eines Strafurteils oder über die Berechnung der erkannten Strafe Zweifel entstehen oder wenn Einwendungen gegen die Zulässigkeit der Strafvollstreckung erhoben werden, so ist die Entscheidung des Gerichts herbeizuführen.</w:t>
      </w:r>
    </w:p>
    <w:p>
      <w:r>
        <w:t xml:space="preserve">(2) Das Gericht entscheidet ferner, wenn in den Fällen des § 454b Absatz 1 bis 3 sowie der §§ 455, 456 und 456c Abs. 2 Einwendungen gegen die Entscheidung der Vollstreckungsbehörde erhoben werden oder wenn die Vollstreckungsbehörde anordnet, daß an einem Ausgelieferten, Abgeschobenen, Zurückgeschobenen oder Zurückgewiesenen die Vollstreckung einer Strafe oder einer Maßregel der Besserung und Sicherung nachgeholt werden soll, und Einwendungen gegen diese Anordnung erhoben werden.</w:t>
      </w:r>
    </w:p>
    <w:p>
      <w:r>
        <w:t xml:space="preserve">(3) Der Fortgang der Vollstreckung wird hierdurch nicht gehemmt; das Gericht kann jedoch einen Aufschub oder eine Unterbrechung der Vollstreckung anordnen. In den Fällen des § 456c Abs. 2 kann das Gericht eine einstweilige Anordnung treffen.</w:t>
      </w:r>
    </w:p>
    <w:p>
      <w:r>
        <w:rPr>
          <w:color w:val="555555"/>
          <w:sz w:val="17"/>
        </w:rPr>
        <w:t xml:space="preserve">Zitiervorschlag: § 458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