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456c StPO — Aufschub und Aussetzung des Berufsverbotes</w:t>
      </w:r>
    </w:p>
    <w:p>
      <w:r>
        <w:rPr>
          <w:color w:val="555555"/>
          <w:sz w:val="18"/>
        </w:rPr>
        <w:t xml:space="preserve">Strafprozeßordnung</w:t>
      </w:r>
    </w:p>
    <w:p>
      <w:r>
        <w:rPr>
          <w:color w:val="555555"/>
          <w:sz w:val="18"/>
        </w:rPr>
        <w:t xml:space="preserve">Stand: 10.06.2019 (konsolidierte Textfassung, kein amtliches Inkrafttretensdatum)</w:t>
      </w:r>
    </w:p>
    <w:p>
      <w:r>
        <w:t xml:space="preserve">(1) Das Gericht kann bei Erlaß des Urteils auf Antrag oder mit Einwilligung des Verurteilten das Wirksamwerden des Berufsverbots durch Beschluß aufschieben, wenn das sofortige Wirksamwerden des Verbots für den Verurteilten oder seine Angehörigen eine erhebliche, außerhalb seines Zweckes liegende, durch späteres Wirksamwerden vermeidbare Härte bedeuten würde. Hat der Verurteilte einen gesetzlichen Vertreter, so ist dessen Einwilligung erforderlich. § 462 Abs. 3 gilt entsprechend.</w:t>
      </w:r>
    </w:p>
    <w:p>
      <w:r>
        <w:t xml:space="preserve">(2) Die Vollstreckungsbehörde kann unter denselben Voraussetzungen das Berufsverbot aussetzen.</w:t>
      </w:r>
    </w:p>
    <w:p>
      <w:r>
        <w:t xml:space="preserve">(3) Der Aufschub und die Aussetzung können an die Leistung einer Sicherheit oder an andere Bedingungen geknüpft werden. Aufschub und Aussetzung dürfen den Zeitraum von sechs Monaten nicht übersteigen.</w:t>
      </w:r>
    </w:p>
    <w:p>
      <w:r>
        <w:t xml:space="preserve">(4) Die Zeit des Aufschubs und der Aussetzung wird auf die für das Berufsverbot festgesetzte Frist nicht angerechnet.</w:t>
      </w:r>
    </w:p>
    <w:p>
      <w:r>
        <w:rPr>
          <w:color w:val="555555"/>
          <w:sz w:val="17"/>
        </w:rPr>
        <w:t xml:space="preserve">Zitiervorschlag: § 456c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https://recht.nulegal.eu/gesetze/StPO/456c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