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456 StPO — Vorübergehender Aufschub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Antrag des Verurteilten kann die Vollstreckung aufgeschoben werden, sofern durch die sofortige Vollstreckung dem Verurteilten oder seiner Familie erhebliche, außerhalb des Strafzwecks liegende Nachteile erwachsen.</w:t>
      </w:r>
    </w:p>
    <w:p>
      <w:r>
        <w:t xml:space="preserve">(2) Der Strafaufschub darf den Zeitraum von vier Monaten nicht übersteigen.</w:t>
      </w:r>
    </w:p>
    <w:p>
      <w:r>
        <w:t xml:space="preserve">(3) Die Bewilligung kann an eine Sicherheitsleistung oder andere Bedingungen geknüpft werden.</w:t>
      </w:r>
    </w:p>
    <w:p>
      <w:r>
        <w:rPr>
          <w:color w:val="555555"/>
          <w:sz w:val="17"/>
        </w:rPr>
        <w:t xml:space="preserve">Zitiervorschlag: § 456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https://recht.nulegal.eu/gesetze/StPO/456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