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453a StPO — Belehrung bei Strafaussetzung oder Verwarnung mit Strafvorbehalt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Angeklagte nicht nach § 268a Abs. 3 belehrt worden, so wird die Belehrung durch das für die Entscheidungen nach § 453 zuständige Gericht erteilt. Der Vorsitzende kann mit der Belehrung einen beauftragten oder ersuchten Richter betrauen.</w:t>
      </w:r>
    </w:p>
    <w:p>
      <w:r>
        <w:t xml:space="preserve">(2) Die Belehrung soll außer in Fällen von geringer Bedeutung mündlich erteilt werden.</w:t>
      </w:r>
    </w:p>
    <w:p>
      <w:r>
        <w:t xml:space="preserve">(3) Der Angeklagte soll auch über die nachträglichen Entscheidungen belehrt werden. Absatz 1 gilt entsprechend.</w:t>
      </w:r>
    </w:p>
    <w:p>
      <w:r>
        <w:rPr>
          <w:color w:val="555555"/>
          <w:sz w:val="17"/>
        </w:rPr>
        <w:t xml:space="preserve">Zitiervorschlag: § 453a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