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453 StPO — Nachträgliche Entscheidung über Strafaussetzung zur Bewährung oder Verwarnung mit Strafvorbehalt</w:t>
      </w:r>
    </w:p>
    <w:p>
      <w:r>
        <w:rPr>
          <w:color w:val="555555"/>
          <w:sz w:val="18"/>
        </w:rPr>
        <w:t xml:space="preserve">Strafprozeßordnung</w:t>
      </w:r>
    </w:p>
    <w:p>
      <w:r>
        <w:rPr>
          <w:color w:val="555555"/>
          <w:sz w:val="18"/>
        </w:rPr>
        <w:t xml:space="preserve">Stand: 10.06.2019 (konsolidierte Textfassung, kein amtliches Inkrafttretensdatum)</w:t>
      </w:r>
    </w:p>
    <w:p>
      <w:r>
        <w:t xml:space="preserve">(1) Die nachträglichen Entscheidungen, die sich auf eine Strafaussetzung zur Bewährung oder eine Verwarnung mit Strafvorbehalt beziehen (§§ 56a bis 56g, 58, 59a, 59b des Strafgesetzbuches), trifft das Gericht ohne mündliche Verhandlung durch Beschluß. Die Staatsanwaltschaft und der Angeklagte sind zu hören. § 246a Absatz 2 und § 454 Absatz 2 Satz 4 gelten entsprechend. Hat das Gericht über einen Widerruf der Strafaussetzung wegen Verstoßes gegen Auflagen oder Weisungen zu entscheiden, so soll es dem Verurteilten Gelegenheit zur mündlichen Anhörung geben. Ist ein Bewährungshelfer bestellt, so unterrichtet ihn das Gericht, wenn eine Entscheidung über den Widerruf der Strafaussetzung oder den Straferlaß in Betracht kommt; über Erkenntnisse, die dem Gericht aus anderen Strafverfahren bekannt geworden sind, soll es ihn unterrichten, wenn der Zweck der Bewährungsaufsicht dies angezeigt erscheinen läßt.</w:t>
      </w:r>
    </w:p>
    <w:p>
      <w:r>
        <w:t xml:space="preserve">(2) Gegen die Entscheidungen nach Absatz 1 ist Beschwerde zulässig. Sie kann nur darauf gestützt werden, daß eine getroffene Anordnung gesetzwidrig ist oder daß die Bewährungszeit nachträglich verlängert worden ist. Der Widerruf der Aussetzung, der Erlaß der Strafe, der Widerruf des Erlasses, die Verurteilung zu der vorbehaltenen Strafe und die Feststellung, daß es bei der Verwarnung sein Bewenden hat (§§ 56f, 56g, 59b des Strafgesetzbuches), können mit sofortiger Beschwerde angefochten werden.</w:t>
      </w:r>
    </w:p>
    <w:p>
      <w:r>
        <w:rPr>
          <w:color w:val="555555"/>
          <w:sz w:val="17"/>
        </w:rPr>
        <w:t xml:space="preserve">Zitiervorschlag: § 453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