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450 StPO — Anrechnung von Untersuchungshaft und Führerscheinentziehung</w:t>
      </w:r>
    </w:p>
    <w:p>
      <w:r>
        <w:rPr>
          <w:color w:val="555555"/>
          <w:sz w:val="18"/>
        </w:rPr>
        <w:t xml:space="preserve">Strafprozeßordnung</w:t>
      </w:r>
    </w:p>
    <w:p>
      <w:r>
        <w:rPr>
          <w:color w:val="555555"/>
          <w:sz w:val="18"/>
        </w:rPr>
        <w:t xml:space="preserve">Stand: 10.06.2019 (konsolidierte Textfassung, kein amtliches Inkrafttretensdatum)</w:t>
      </w:r>
    </w:p>
    <w:p>
      <w:r>
        <w:t xml:space="preserve">(1) Auf die zu vollstreckende Freiheitsstrafe ist unverkürzt die Untersuchungshaft anzurechnen, die der Angeklagte erlitten hat, seit er auf Einlegung eines Rechtsmittels verzichtet oder das eingelegte Rechtsmittel zurückgenommen hat oder seitdem die Einlegungsfrist abgelaufen ist, ohne daß er eine Erklärung abgegeben hat.</w:t>
      </w:r>
    </w:p>
    <w:p>
      <w:r>
        <w:t xml:space="preserve">(2) Hat nach dem Urteil eine Verwahrung, Sicherstellung oder Beschlagnahme des Führerscheins auf Grund des § 111a Abs. 5 Satz 2 fortgedauert, so ist diese Zeit unverkürzt auf das Fahrverbot (§ 44 des Strafgesetzbuches) anzurechnen.</w:t>
      </w:r>
    </w:p>
    <w:p>
      <w:r>
        <w:rPr>
          <w:color w:val="555555"/>
          <w:sz w:val="17"/>
        </w:rPr>
        <w:t xml:space="preserve">Zitiervorschlag: § 450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