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434 StPO — Entscheidung im Nachverfahren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 über die Einziehung im Nachverfahren trifft das Gericht des ersten Rechtszuges.</w:t>
      </w:r>
    </w:p>
    <w:p>
      <w:r>
        <w:t xml:space="preserve">(2) Das Gericht entscheidet durch Beschluss, gegen den sofortige Beschwerde zulässig ist.</w:t>
      </w:r>
    </w:p>
    <w:p>
      <w:r>
        <w:t xml:space="preserve">(3) Über einen zulässigen Antrag wird auf Grund mündlicher Verhandlung durch Urteil entschieden, wenn die Staatsanwaltschaft oder sonst der Antragsteller es beantragt oder das Gericht dies anordnet; die Vorschriften über die Hauptverhandlung gelten entsprechend. Wer gegen das Urteil eine zulässige Berufung eingelegt hat, kann gegen das Berufungsurteil nicht mehr Revision einlegen.</w:t>
      </w:r>
    </w:p>
    <w:p>
      <w:r>
        <w:t xml:space="preserve">(4) Ist durch Urteil entschieden, so gilt § 431 Absatz 4 entsprechend.</w:t>
      </w:r>
    </w:p>
    <w:p>
      <w:r>
        <w:rPr>
          <w:color w:val="555555"/>
          <w:sz w:val="17"/>
        </w:rPr>
        <w:t xml:space="preserve">Zitiervorschlag: § 434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https://recht.nulegal.eu/gesetze/StPO/434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