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432 StPO — Einziehung durch Strafbefehl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die Einziehung durch Strafbefehl angeordnet, so wird der Strafbefehl auch dem Einziehungsbeteiligten zugestellt, soweit er an dem Verfahren beteiligt ist. § 429 Absatz 3 Nummer 2 gilt entsprechend.</w:t>
      </w:r>
    </w:p>
    <w:p>
      <w:r>
        <w:t xml:space="preserve">(2) Ist nur über den Einspruch des Einziehungsbeteiligten zu entscheiden, so gilt § 434 Absatz 2 und 3 entsprechend.</w:t>
      </w:r>
    </w:p>
    <w:p>
      <w:r>
        <w:rPr>
          <w:color w:val="555555"/>
          <w:sz w:val="17"/>
        </w:rPr>
        <w:t xml:space="preserve">Zitiervorschlag: § 432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