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430 StPO — Stellung in der Hauptverhandlung</w:t>
      </w:r>
    </w:p>
    <w:p>
      <w:r>
        <w:rPr>
          <w:color w:val="555555"/>
          <w:sz w:val="18"/>
        </w:rPr>
        <w:t xml:space="preserve">Strafprozeßordnung</w:t>
      </w:r>
    </w:p>
    <w:p>
      <w:r>
        <w:rPr>
          <w:color w:val="555555"/>
          <w:sz w:val="18"/>
        </w:rPr>
        <w:t xml:space="preserve">Stand: 01.07.2021 (konsolidierte Textfassung, kein amtliches Inkrafttretensdatum)</w:t>
      </w:r>
    </w:p>
    <w:p>
      <w:r>
        <w:t xml:space="preserve">(1) Bleibt der Einziehungsbeteiligte in der Hauptverhandlung trotz ordnungsgemäßer Terminsnachricht aus, kann ohne ihn verhandelt werden; § 235 ist nicht anzuwenden. Gleiches gilt, wenn sich der Einziehungsbeteiligte aus der Hauptverhandlung entfernt oder bei der Fortsetzung einer unterbrochenen Hauptverhandlung ausbleibt.</w:t>
      </w:r>
    </w:p>
    <w:p>
      <w:r>
        <w:t xml:space="preserve">(2) Auf Beweisanträge des Einziehungsbeteiligten zur Frage der Schuld des Angeklagten ist § 244 Absatz 3 Satz 2, Absatz 4 bis 6 nicht anzuwenden.</w:t>
      </w:r>
    </w:p>
    <w:p>
      <w:r>
        <w:t xml:space="preserve">(3) Ordnet das Gericht die Einziehung eines Gegenstandes nach § 74b Absatz 1 des Strafgesetzbuches an, ohne dass eine Entschädigung nach § 74b Absatz 2 des Strafgesetzbuches zu gewähren ist, spricht es zugleich aus, dass dem Einziehungsbeteiligten eine Entschädigung nicht zusteht. Dies gilt nicht, wenn das Gericht eine Entschädigung des Einziehungsbeteiligten nach § 74b Absatz 3 Satz 2 des Strafgesetzbuches für geboten hält; in diesem Fall entscheidet es zugleich über die Höhe der Entschädigung. Das Gericht weist den Einziehungsbeteiligten zuvor auf die Möglichkeit einer solchen Entscheidung hin und gibt ihm Gelegenheit, sich zu äußern.</w:t>
      </w:r>
    </w:p>
    <w:p>
      <w:r>
        <w:t xml:space="preserve">(4) War der Einziehungsbeteiligte bei der Verkündung des Urteils nicht zugegen und auch nicht vertreten, so beginnt die Frist zur Einlegung eines Rechtsmittels mit der Zustellung der Urteilsformel an ihn. Bei der Zustellung des Urteils kann das Gericht anordnen, dass Teile des Urteils, welche die Einziehung nicht betreffen, ausgeschieden werden.</w:t>
      </w:r>
    </w:p>
    <w:p>
      <w:r>
        <w:rPr>
          <w:color w:val="555555"/>
          <w:sz w:val="17"/>
        </w:rPr>
        <w:t xml:space="preserve">Zitiervorschlag: § 430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