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StPO — Berechnung von Wochen- und Monatsfristen</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Frist, die nach Wochen oder Monaten bestimmt ist, endet mit Ablauf des Tages der letzten Woche oder des letzten Monats, der durch seine Benennung oder Zahl dem Tag entspricht, an dem die Frist begonnen hat; fehlt dieser Tag in dem letzten Monat, so endet die Frist mit dem Ablauf des letzten Tages dieses Monats.</w:t>
      </w:r>
    </w:p>
    <w:p>
      <w:r>
        <w:t xml:space="preserve">(2) Fällt das Ende einer Frist auf einen Sonntag, einen allgemeinen Feiertag oder einen Sonnabend, so endet die Frist mit Ablauf des nächsten Werktages.</w:t>
      </w:r>
    </w:p>
    <w:p>
      <w:r>
        <w:rPr>
          <w:color w:val="555555"/>
          <w:sz w:val="17"/>
        </w:rPr>
        <w:t xml:space="preserve">Zitiervorschlag: § 43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