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StPO — Berechnung von Tagesfristen</w:t>
      </w:r>
    </w:p>
    <w:p>
      <w:r>
        <w:rPr>
          <w:color w:val="555555"/>
          <w:sz w:val="18"/>
        </w:rPr>
        <w:t xml:space="preserve">Strafprozeßordnung</w:t>
      </w:r>
    </w:p>
    <w:p>
      <w:r>
        <w:rPr>
          <w:color w:val="555555"/>
          <w:sz w:val="18"/>
        </w:rPr>
        <w:t xml:space="preserve">Stand: 10.06.2019 (konsolidierte Textfassung, kein amtliches Inkrafttretensdatum)</w:t>
      </w:r>
    </w:p>
    <w:p>
      <w:r>
        <w:t xml:space="preserve">Bei der Berechnung einer Frist, die nach Tagen bestimmt ist, wird der Tag nicht mitgerechnet, auf den der Zeitpunkt oder das Ereignis fällt, nach dem der Anfang der Frist sich richten soll.</w:t>
      </w:r>
    </w:p>
    <w:p>
      <w:r>
        <w:rPr>
          <w:color w:val="555555"/>
          <w:sz w:val="17"/>
        </w:rPr>
        <w:t xml:space="preserve">Zitiervorschlag: § 42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