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419 StPO — Entscheidung des Gerichts; Strafmaß</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Strafrichter oder das Schöffengericht hat dem Antrag zu entsprechen, wenn sich die Sache zur Verhandlung in diesem Verfahren eignet. Eine höhere Freiheitsstrafe als Freiheitsstrafe von einem Jahr oder eine Maßregel der Besserung und Sicherung darf in diesem Verfahren nicht verhängt werden. Die Entziehung der Fahrerlaubnis ist zulässig.</w:t>
      </w:r>
    </w:p>
    <w:p>
      <w:r>
        <w:t xml:space="preserve">(2) Die Entscheidung im beschleunigten Verfahren kann auch in der Hauptverhandlung bis zur Verkündung des Urteils abgelehnt werden. Der Beschluß ist nicht anfechtbar.</w:t>
      </w:r>
    </w:p>
    <w:p>
      <w:r>
        <w:t xml:space="preserve">(3) Wird die Entscheidung im beschleunigten Verfahren abgelehnt, so beschließt das Gericht die Eröffnung des Hauptverfahrens, wenn der Angeschuldigte einer Straftat hinreichend verdächtig erscheint (§ 203); wird nicht eröffnet und die Entscheidung im beschleunigten Verfahren abgelehnt, so kann von der Einreichung einer neuen Anklageschrift abgesehen werden.</w:t>
      </w:r>
    </w:p>
    <w:p>
      <w:r>
        <w:rPr>
          <w:color w:val="555555"/>
          <w:sz w:val="17"/>
        </w:rPr>
        <w:t xml:space="preserve">Zitiervorschlag: § 419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