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417 StPO — Zulässigkeit</w:t>
      </w:r>
    </w:p>
    <w:p>
      <w:r>
        <w:rPr>
          <w:color w:val="555555"/>
          <w:sz w:val="18"/>
        </w:rPr>
        <w:t xml:space="preserve">Strafprozeßordnung</w:t>
      </w:r>
    </w:p>
    <w:p>
      <w:r>
        <w:rPr>
          <w:color w:val="555555"/>
          <w:sz w:val="18"/>
        </w:rPr>
        <w:t xml:space="preserve">Stand: 10.06.2019 (konsolidierte Textfassung, kein amtliches Inkrafttretensdatum)</w:t>
      </w:r>
    </w:p>
    <w:p>
      <w:r>
        <w:t xml:space="preserve">Im Verfahren vor dem Strafrichter und dem Schöffengericht stellt die Staatsanwaltschaft schriftlich oder mündlich den Antrag auf Entscheidung im beschleunigten Verfahren, wenn die Sache auf Grund des einfachen Sachverhalts oder der klaren Beweislage zur sofortigen Verhandlung geeignet ist.</w:t>
      </w:r>
    </w:p>
    <w:p>
      <w:r>
        <w:rPr>
          <w:color w:val="555555"/>
          <w:sz w:val="17"/>
        </w:rPr>
        <w:t xml:space="preserve">Zitiervorschlag: § 417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