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412 StPO — Ausbleiben des Angeklagten; Einspruchsverwerfung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§ 329 Absatz 1, 3, 6 und 7 ist entsprechend anzuwenden. Hat der gesetzliche Vertreter Einspruch eingelegt, so ist auch § 330 entsprechend anzuwenden.</w:t>
      </w:r>
    </w:p>
    <w:p>
      <w:r>
        <w:rPr>
          <w:color w:val="555555"/>
          <w:sz w:val="17"/>
        </w:rPr>
        <w:t xml:space="preserve">Zitiervorschlag: § 412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https://recht.nulegal.eu/gesetze/StPO/412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