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StPO — Zustellungen an die Staatsanwaltschaft</w:t>
      </w:r>
    </w:p>
    <w:p>
      <w:r>
        <w:rPr>
          <w:color w:val="555555"/>
          <w:sz w:val="18"/>
        </w:rPr>
        <w:t xml:space="preserve">Strafprozeßordnung</w:t>
      </w:r>
    </w:p>
    <w:p>
      <w:r>
        <w:rPr>
          <w:color w:val="555555"/>
          <w:sz w:val="18"/>
        </w:rPr>
        <w:t xml:space="preserve">Stand: 10.06.2019 (konsolidierte Textfassung, kein amtliches Inkrafttretensdatum)</w:t>
      </w:r>
    </w:p>
    <w:p>
      <w:r>
        <w:t xml:space="preserve">Zustellungen an die Staatsanwaltschaft erfolgen durch elektronische Übermittlung (§ 32b Absatz 3) oder durch Vorlegung der Urschrift des zuzustellenden Schriftstücks. Wenn mit der Zustellung der Lauf einer Frist beginnt und die Zustellung durch Vorlegung der Urschrift erfolgt, so ist der Tag der Vorlegung von der Staatsanwaltschaft auf der Urschrift zu vermerken. Bei elektronischer Übermittlung muss der Zeitpunkt des Eingangs (§ 32a Absatz 5 Satz 1) aktenkundig sein.</w:t>
      </w:r>
    </w:p>
    <w:p>
      <w:r>
        <w:rPr>
          <w:color w:val="555555"/>
          <w:sz w:val="17"/>
        </w:rPr>
        <w:t xml:space="preserve">Zitiervorschlag: § 41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