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408a StPO — Strafbefehlsantrag nach Eröffnung des Hauptverfahrens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das Hauptverfahren bereits eröffnet, so kann im Verfahren vor dem Strafrichter und dem Schöffengericht die Staatsanwaltschaft einen Strafbefehlsantrag stellen, wenn die Voraussetzungen des § 407 Abs. 1 Satz 1 und 2 vorliegen und wenn der Durchführung einer Hauptverhandlung das Ausbleiben oder die Abwesenheit des Angeklagten oder ein anderer wichtiger Grund entgegensteht. In der Hauptverhandlung kann der Staatsanwalt den Antrag mündlich stellen; der wesentliche Inhalt des Strafbefehlsantrages ist in das Sitzungsprotokoll aufzunehmen. § 407 Abs. 1 Satz 4, § 408 finden keine Anwendung.</w:t>
      </w:r>
    </w:p>
    <w:p>
      <w:r>
        <w:t xml:space="preserve">(2) Der Richter hat dem Antrag zu entsprechen, wenn die Voraussetzungen des § 408 Abs. 3 Satz 1 vorliegen. Andernfalls lehnt er den Antrag durch unanfechtbaren Beschluß ab und setzt das Hauptverfahren fort.</w:t>
      </w:r>
    </w:p>
    <w:p>
      <w:r>
        <w:rPr>
          <w:color w:val="555555"/>
          <w:sz w:val="17"/>
        </w:rPr>
        <w:t xml:space="preserve">Zitiervorschlag: § 408a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https://recht.nulegal.eu/gesetze/StPO/408a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