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406k StPO — Weitere Informationen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Informationen nach den §§ 406i und 406j sollen jeweils Angaben dazu enthalten,</w:t>
      </w:r>
    </w:p>
    <w:p>
      <w:pPr>
        <w:ind w:left="420"/>
      </w:pPr>
      <w:r>
        <w:t xml:space="preserve">1. an welche Stellen sich die Verletzten wenden können, um die beschriebenen Möglichkeiten wahrzunehmen, und</w:t>
      </w:r>
    </w:p>
    <w:p>
      <w:pPr>
        <w:ind w:left="420"/>
      </w:pPr>
      <w:r>
        <w:t xml:space="preserve">2. wer die beschriebenen Angebote gegebenenfalls erbringt.</w:t>
      </w:r>
    </w:p>
    <w:p>
      <w:r>
        <w:t xml:space="preserve">(2) Liegen die Voraussetzungen einer bestimmten Befugnis im Einzelfall offensichtlich nicht vor, kann die betreffende Unterrichtung unterbleiben. Gegenüber Verletzten, die keine zustellungsfähige Anschrift angegeben haben, besteht keine schriftliche Hinweispflicht.</w:t>
      </w:r>
    </w:p>
    <w:p>
      <w:r>
        <w:rPr>
          <w:color w:val="555555"/>
          <w:sz w:val="17"/>
        </w:rPr>
        <w:t xml:space="preserve">Zitiervorschlag: § 406k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https://recht.nulegal.eu/gesetze/StPO/406k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