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StPO — Verbindung und Trennung rechtshängiger Strafsachen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Verbindung zusammenhängender oder eine Trennung verbundener Strafsachen kann auch nach Eröffnung des Hauptverfahrens auf Antrag der Staatsanwaltschaft oder des Angeklagten oder von Amts wegen durch gerichtlichen Beschluß angeordnet werden.</w:t>
      </w:r>
    </w:p>
    <w:p>
      <w:r>
        <w:t xml:space="preserve">(2) Zuständig für den Beschluß ist das Gericht höherer Ordnung, wenn die übrigen Gerichte zu seinem Bezirk gehören. Fehlt ein solches Gericht, so entscheidet das gemeinschaftliche obere Gericht.</w:t>
      </w:r>
    </w:p>
    <w:p>
      <w:r>
        <w:rPr>
          <w:color w:val="555555"/>
          <w:sz w:val="17"/>
        </w:rPr>
        <w:t xml:space="preserve">Zitiervorschlag: § 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