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399 StPO — Bekanntmachung und Anfechtbarkeit früherer Entscheidungen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Entscheidungen, die schon vor dem Anschluß ergangen und der Staatsanwaltschaft bekanntgemacht waren, bedürfen außer in den Fällen des § 401 Abs. 1 Satz 2 keiner Bekanntmachung an den Nebenkläger.</w:t>
      </w:r>
    </w:p>
    <w:p>
      <w:r>
        <w:t xml:space="preserve">(2) Die Anfechtung solcher Entscheidungen steht auch dem Nebenkläger nicht mehr zu, wenn für die Staatsanwaltschaft die Frist zur Anfechtung abgelaufen ist.</w:t>
      </w:r>
    </w:p>
    <w:p>
      <w:r>
        <w:rPr>
          <w:color w:val="555555"/>
          <w:sz w:val="17"/>
        </w:rPr>
        <w:t xml:space="preserve">Zitiervorschlag: § 399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