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396 StPO — Anschlusserklärung; Entscheidung über die Befugnis zum Anschluss</w:t>
      </w:r>
    </w:p>
    <w:p>
      <w:r>
        <w:rPr>
          <w:color w:val="555555"/>
          <w:sz w:val="18"/>
        </w:rPr>
        <w:t xml:space="preserve">Strafprozeßordnung</w:t>
      </w:r>
    </w:p>
    <w:p>
      <w:r>
        <w:rPr>
          <w:color w:val="555555"/>
          <w:sz w:val="18"/>
        </w:rPr>
        <w:t xml:space="preserve">Stand: 10.06.2019 (konsolidierte Textfassung, kein amtliches Inkrafttretensdatum)</w:t>
      </w:r>
    </w:p>
    <w:p>
      <w:r>
        <w:t xml:space="preserve">(1) Die Anschlußerklärung ist bei dem Gericht schriftlich einzureichen. Eine vor Erhebung der öffentlichen Klage bei der Staatsanwaltschaft oder dem Gericht eingegangene Anschlußerklärung wird mit der Erhebung der öffentlichen Klage wirksam. Im Verfahren bei Strafbefehlen wird der Anschluß wirksam, wenn Termin zur Hauptverhandlung anberaumt (§ 408 Abs. 3 Satz 2, § 411 Abs. 1) oder der Antrag auf Erlaß eines Strafbefehls abgelehnt worden ist.</w:t>
      </w:r>
    </w:p>
    <w:p>
      <w:r>
        <w:t xml:space="preserve">(2) Das Gericht entscheidet über die Berechtigung zum Anschluß als Nebenkläger nach Anhörung der Staatsanwaltschaft. In den Fällen des § 395 Abs. 3 entscheidet es nach Anhörung auch des Angeschuldigten darüber, ob der Anschluß aus den dort genannten Gründen geboten ist; diese Entscheidung ist unanfechtbar.</w:t>
      </w:r>
    </w:p>
    <w:p>
      <w:r>
        <w:t xml:space="preserve">(3) Erwägt das Gericht, das Verfahren nach § 153 Abs. 2, § 153a Abs. 2, § 153b Abs. 2 oder § 154 Abs. 2 einzustellen, so entscheidet es zunächst über die Berechtigung zum Anschluß.</w:t>
      </w:r>
    </w:p>
    <w:p>
      <w:r>
        <w:rPr>
          <w:color w:val="555555"/>
          <w:sz w:val="17"/>
        </w:rPr>
        <w:t xml:space="preserve">Zitiervorschlag: § 396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https://recht.nulegal.eu/gesetze/StPO/396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