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393 StPO — Tod des Privatklägers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Tod des Privatklägers hat die Einstellung des Verfahrens zur Folge.</w:t>
      </w:r>
    </w:p>
    <w:p>
      <w:r>
        <w:t xml:space="preserve">(2) Die Privatklage kann jedoch nach dem Tode des Klägers von den nach § 374 Abs. 2 zur Erhebung der Privatklage Berechtigten fortgesetzt werden.</w:t>
      </w:r>
    </w:p>
    <w:p>
      <w:r>
        <w:t xml:space="preserve">(3) Die Fortsetzung ist von dem Berechtigten bei Verlust des Rechts binnen zwei Monaten, vom Tode des Privatklägers an gerechnet, bei Gericht zu erklären.</w:t>
      </w:r>
    </w:p>
    <w:p>
      <w:r>
        <w:rPr>
          <w:color w:val="555555"/>
          <w:sz w:val="17"/>
        </w:rPr>
        <w:t xml:space="preserve">Zitiervorschlag: § 393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