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387 StPO — Vertretung in der Hauptverhandlung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Hauptverhandlung kann auch der Angeklagte im Beistand eines Rechtsanwalts erscheinen oder sich auf Grund einer nachgewiesenen Vollmacht durch einen solchen vertreten lassen.</w:t>
      </w:r>
    </w:p>
    <w:p>
      <w:r>
        <w:t xml:space="preserve">(2) Die Vorschrift des § 139 gilt für den Anwalt des Klägers und für den des Angeklagten.</w:t>
      </w:r>
    </w:p>
    <w:p>
      <w:r>
        <w:t xml:space="preserve">(3) Das Gericht ist befugt, das persönliche Erscheinen des Klägers sowie des Angeklagten anzuordnen, auch den Angeklagten vorführen zu lassen.</w:t>
      </w:r>
    </w:p>
    <w:p>
      <w:r>
        <w:rPr>
          <w:color w:val="555555"/>
          <w:sz w:val="17"/>
        </w:rPr>
        <w:t xml:space="preserve">Zitiervorschlag: § 387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