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386 StPO — Ladung von Zeugen und Sachverständigen</w:t>
      </w:r>
    </w:p>
    <w:p>
      <w:r>
        <w:rPr>
          <w:color w:val="555555"/>
          <w:sz w:val="18"/>
        </w:rPr>
        <w:t xml:space="preserve">Strafprozeßordnung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Vorsitzende des Gerichts bestimmt, welche Personen als Zeugen oder Sachverständige zur Hauptverhandlung geladen werden sollen.</w:t>
      </w:r>
    </w:p>
    <w:p>
      <w:r>
        <w:t xml:space="preserve">(2) Dem Privatkläger wie dem Angeklagten steht das Recht der unmittelbaren Ladung zu.</w:t>
      </w:r>
    </w:p>
    <w:p>
      <w:r>
        <w:rPr>
          <w:color w:val="555555"/>
          <w:sz w:val="17"/>
        </w:rPr>
        <w:t xml:space="preserve">Zitiervorschlag: § 386 StPO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https://recht.nulegal.eu/gesetze/StPO/386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