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384 StPO — Weiteres 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weitere Verfahren richtet sich nach den Vorschriften, die für das Verfahren auf erhobene öffentliche Klage gegeben sind. Jedoch dürfen Maßregeln der Besserung und Sicherung nicht angeordnet werden.</w:t>
      </w:r>
    </w:p>
    <w:p>
      <w:r>
        <w:t xml:space="preserve">(2) § 243 ist mit der Maßgabe anzuwenden, daß der Vorsitzende den Beschluß über die Eröffnung des Hauptverfahrens verliest.</w:t>
      </w:r>
    </w:p>
    <w:p>
      <w:r>
        <w:t xml:space="preserve">(3) Das Gericht bestimmt unbeschadet des § 244 Abs. 2 den Umfang der Beweisaufnahme.</w:t>
      </w:r>
    </w:p>
    <w:p>
      <w:r>
        <w:t xml:space="preserve">(4) Die Vorschrift des § 265 Abs. 3 über das Recht, die Aussetzung der Hauptverhandlung zu verlangen, ist nicht anzuwenden.</w:t>
      </w:r>
    </w:p>
    <w:p>
      <w:r>
        <w:t xml:space="preserve">(5) Vor dem Schwurgericht kann eine Privatklagesache nicht gleichzeitig mit einer auf öffentliche Klage anhängig gemachten Sache verhandelt werden.</w:t>
      </w:r>
    </w:p>
    <w:p>
      <w:r>
        <w:rPr>
          <w:color w:val="555555"/>
          <w:sz w:val="17"/>
        </w:rPr>
        <w:t xml:space="preserve">Zitiervorschlag: § 384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