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382 StPO — Mitteilung der Privatklage an den Beschuldigten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Ist die Klage vorschriftsmäßig erhoben, so teilt das Gericht sie dem Beschuldigten unter Bestimmung einer Frist zur Erklärung mit.</w:t>
      </w:r>
    </w:p>
    <w:p>
      <w:r>
        <w:rPr>
          <w:color w:val="555555"/>
          <w:sz w:val="17"/>
        </w:rPr>
        <w:t xml:space="preserve">Zitiervorschlag: § 382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https://recht.nulegal.eu/gesetze/StPO/382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