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375 StPO — Mehrere Privatklageberechtigte</w:t>
      </w:r>
    </w:p>
    <w:p>
      <w:r>
        <w:rPr>
          <w:color w:val="555555"/>
          <w:sz w:val="18"/>
        </w:rPr>
        <w:t xml:space="preserve">Strafprozeßordnung</w:t>
      </w:r>
    </w:p>
    <w:p>
      <w:r>
        <w:rPr>
          <w:color w:val="555555"/>
          <w:sz w:val="18"/>
        </w:rPr>
        <w:t xml:space="preserve">Stand: 10.06.2019 (konsolidierte Textfassung, kein amtliches Inkrafttretensdatum)</w:t>
      </w:r>
    </w:p>
    <w:p>
      <w:r>
        <w:t xml:space="preserve">(1) Sind wegen derselben Straftat mehrere Personen zur Privatklage berechtigt, so ist bei Ausübung dieses Rechts ein jeder von dem anderen unabhängig.</w:t>
      </w:r>
    </w:p>
    <w:p>
      <w:r>
        <w:t xml:space="preserve">(2) Hat jedoch einer der Berechtigten die Privatklage erhoben, so steht den übrigen nur der Beitritt zu dem eingeleiteten Verfahren, und zwar in der Lage zu, in der es sich zur Zeit der Beitrittserklärung befindet.</w:t>
      </w:r>
    </w:p>
    <w:p>
      <w:r>
        <w:t xml:space="preserve">(3) Jede in der Sache selbst ergangene Entscheidung äußert zugunsten des Beschuldigten ihre Wirkung auch gegenüber solchen Berechtigten, welche die Privatklage nicht erhoben haben.</w:t>
      </w:r>
    </w:p>
    <w:p>
      <w:r>
        <w:rPr>
          <w:color w:val="555555"/>
          <w:sz w:val="17"/>
        </w:rPr>
        <w:t xml:space="preserve">Zitiervorschlag: § 375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