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373a StPO — Verfahren bei Strafbefehl</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Wiederaufnahme eines durch rechtskräftigen Strafbefehl abgeschlossenen Verfahrens zuungunsten des Verurteilten ist auch zulässig, wenn neue Tatsachen oder Beweismittel beigebracht sind, die allein oder in Verbindung mit den früheren Beweisen geeignet sind, die Verurteilung wegen eines Verbrechens zu begründen.</w:t>
      </w:r>
    </w:p>
    <w:p>
      <w:r>
        <w:t xml:space="preserve">(2) Im übrigen gelten für die Wiederaufnahme eines durch rechtskräftigen Strafbefehl abgeschlossenen Verfahrens die §§ 359 bis 373 entsprechend.</w:t>
      </w:r>
    </w:p>
    <w:p>
      <w:r>
        <w:rPr>
          <w:color w:val="555555"/>
          <w:sz w:val="17"/>
        </w:rPr>
        <w:t xml:space="preserve">Zitiervorschlag: § 373a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